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6F" w:rsidRPr="0083236F" w:rsidRDefault="0083236F" w:rsidP="0083236F">
      <w:pPr>
        <w:spacing w:after="324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pt-BR"/>
        </w:rPr>
        <w:t>DICAS PARA A 2ª FASE DE DIREITO DO TRABALHO PARA A OAB.</w:t>
      </w:r>
    </w:p>
    <w:p w:rsidR="0083236F" w:rsidRPr="0083236F" w:rsidRDefault="0083236F" w:rsidP="0083236F">
      <w:pPr>
        <w:spacing w:after="0" w:line="264" w:lineRule="auto"/>
        <w:outlineLvl w:val="1"/>
        <w:rPr>
          <w:rFonts w:ascii="Tahoma" w:eastAsia="Times New Roman" w:hAnsi="Tahoma" w:cs="Tahoma"/>
          <w:color w:val="F4793A"/>
          <w:sz w:val="32"/>
          <w:szCs w:val="32"/>
          <w:lang w:eastAsia="pt-BR"/>
        </w:rPr>
      </w:pPr>
      <w:r w:rsidRPr="0083236F">
        <w:rPr>
          <w:rFonts w:ascii="Arial" w:eastAsia="Times New Roman" w:hAnsi="Arial" w:cs="Arial"/>
          <w:color w:val="F4793A"/>
          <w:sz w:val="24"/>
          <w:szCs w:val="24"/>
          <w:u w:val="single"/>
          <w:lang w:eastAsia="pt-BR"/>
        </w:rPr>
        <w:t xml:space="preserve">Por </w:t>
      </w:r>
      <w:proofErr w:type="spellStart"/>
      <w:r w:rsidRPr="0083236F">
        <w:rPr>
          <w:rFonts w:ascii="Arial" w:eastAsia="Times New Roman" w:hAnsi="Arial" w:cs="Arial"/>
          <w:color w:val="F4793A"/>
          <w:sz w:val="24"/>
          <w:szCs w:val="24"/>
          <w:u w:val="single"/>
          <w:lang w:eastAsia="pt-BR"/>
        </w:rPr>
        <w:t>Gleibe</w:t>
      </w:r>
      <w:proofErr w:type="spellEnd"/>
      <w:r w:rsidRPr="0083236F">
        <w:rPr>
          <w:rFonts w:ascii="Arial" w:eastAsia="Times New Roman" w:hAnsi="Arial" w:cs="Arial"/>
          <w:color w:val="F4793A"/>
          <w:sz w:val="24"/>
          <w:szCs w:val="24"/>
          <w:u w:val="single"/>
          <w:lang w:eastAsia="pt-BR"/>
        </w:rPr>
        <w:t xml:space="preserve"> </w:t>
      </w:r>
      <w:proofErr w:type="spellStart"/>
      <w:r w:rsidRPr="0083236F">
        <w:rPr>
          <w:rFonts w:ascii="Arial" w:eastAsia="Times New Roman" w:hAnsi="Arial" w:cs="Arial"/>
          <w:color w:val="F4793A"/>
          <w:sz w:val="24"/>
          <w:szCs w:val="24"/>
          <w:u w:val="single"/>
          <w:lang w:eastAsia="pt-BR"/>
        </w:rPr>
        <w:t>Pretti</w:t>
      </w:r>
      <w:proofErr w:type="spellEnd"/>
    </w:p>
    <w:p w:rsidR="0083236F" w:rsidRPr="0083236F" w:rsidRDefault="0083236F" w:rsidP="0083236F">
      <w:pPr>
        <w:spacing w:after="324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Meu querido (a) leitor (a), ora candidato, é um grande prazer sempre escrever pra você. Agradeço a sua leitura e espero lhe auxiliar nesse texto para a prova da 2º fase da OAB em direito do trabalho.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Primeiramente, parabéns pela escolha você optou por uma área que, graças a Deus, estamos aprovando muitos alunos. E você será o próximo, acredite nisso. Bom, já que escolheu a área obreira, vamos às dicas.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 interessante da área trabalhista é que o candidato tem a possibilidade de entender muito à matéria de uma forma rápida é objetiva, pois a maioria já trabalhou ou trabalha ou ainda é empregador. Assim sendo, temas como férias, FGTS, aviso prévio não é estranho aos candidatos. Com isso o entendimento da matéria fica mais fácil e a aplicação na prova idem.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0" w:line="240" w:lineRule="auto"/>
        <w:ind w:left="540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Uma pergunta comum dos candidatos é se existem cálculos para serem feitos na segunda fase em trabalho. Existem sim, no rito sumaríssimo. Mas vou ser sincero, apenas calculamos o aviso prévio, o saldo de salário, o FGTS, as férias proporcionais e vencidas e o 13º. São cálculos extremamente simples, sem nenhum tipo de complexidade que até esse professor de direito que não sabe nada de matemática consegue fazer. 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Uma segurança pra você candidato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não tenha medo dos cálculos estes são de simples elaboração. Só para se ter uma idéia, no exame de ordem em São Paulo, caiu apenas uma vez o rito sumaríssimo e a aprovação das nossas turmas (com mais de 100 alunos)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foi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de 92%. Entendeu por que nunca mais caiu na </w:t>
      </w:r>
      <w:proofErr w:type="spellStart"/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oab</w:t>
      </w:r>
      <w:proofErr w:type="spellEnd"/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? É muito fácil.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Uma outra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pergunta que existe dos candidatos refere-se a quantidade de peças. Minha resposta sempre é a mesma: “</w:t>
      </w:r>
      <w:r w:rsidRPr="0083236F">
        <w:rPr>
          <w:rFonts w:ascii="Arial" w:eastAsia="Times New Roman" w:hAnsi="Arial" w:cs="Arial"/>
          <w:i/>
          <w:iCs/>
          <w:color w:val="444444"/>
          <w:sz w:val="20"/>
          <w:szCs w:val="20"/>
          <w:lang w:eastAsia="pt-BR"/>
        </w:rPr>
        <w:t>Mais ou menos umas 50 peças!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”. O aluno se assusta e diz “</w:t>
      </w:r>
      <w:r w:rsidRPr="0083236F">
        <w:rPr>
          <w:rFonts w:ascii="Arial" w:eastAsia="Times New Roman" w:hAnsi="Arial" w:cs="Arial"/>
          <w:i/>
          <w:iCs/>
          <w:color w:val="444444"/>
          <w:sz w:val="20"/>
          <w:szCs w:val="20"/>
          <w:lang w:eastAsia="pt-BR"/>
        </w:rPr>
        <w:t>Meu Deus tudo isso!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”. Diante desse assombro vem a minha explicação abaixo.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Tenha em mente que existem apenas quatro peças no direito do trabalho, sendo elas: inicial trabalhista, contestação, recurso ordinário e embargos de declaração. Se você souber fazer essas quatro peças saberá fazer qualquer peça na área trabalhista. As formatações das peças são as mesmas. 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lastRenderedPageBreak/>
        <w:t>Apenas muda o nome e eventualmente o pedido de cada uma. Mas esses detalhes estão nos livros que indicarei pra você. Ou seja, todos os detalhes da peça estão nos livros de direito do trabalho e processo do trabalho. Com os livros certos nas mãos você encontrará todos os detalhes das peças.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 grande segredo para a prova da segunda fase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, são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alguns detalhes. O primeiro deles é a letra e o capricho do candidato. Turma, letra feia pode até passar, porém é difícil. O capricho seria em completar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todas os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espaços da folha dando um aspecto de “robustez”, ou seja, completa, com conteúdo.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Outra boa dica é abrir durante a elaboração da peça tópicos, do gênero: “</w:t>
      </w:r>
      <w:r w:rsidRPr="0083236F">
        <w:rPr>
          <w:rFonts w:ascii="Arial" w:eastAsia="Times New Roman" w:hAnsi="Arial" w:cs="Arial"/>
          <w:i/>
          <w:iCs/>
          <w:color w:val="444444"/>
          <w:sz w:val="20"/>
          <w:szCs w:val="20"/>
          <w:lang w:eastAsia="pt-BR"/>
        </w:rPr>
        <w:t>do cabimento das horas extras e seus reflexos legais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”, “</w:t>
      </w:r>
      <w:r w:rsidRPr="0083236F">
        <w:rPr>
          <w:rFonts w:ascii="Arial" w:eastAsia="Times New Roman" w:hAnsi="Arial" w:cs="Arial"/>
          <w:i/>
          <w:iCs/>
          <w:color w:val="444444"/>
          <w:sz w:val="20"/>
          <w:szCs w:val="20"/>
          <w:lang w:eastAsia="pt-BR"/>
        </w:rPr>
        <w:t>do não cabimento da equiparação salarial em virtude do paradigma reabilitado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”, etc. Vou ser direito no assunto, quanto mais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tópicos tiver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sua peça será melhor a correção do examinador.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Mas como complemento ao tópico é exatamente saber o famoso FFC. Mas o que seria isso? É o fato, fundamento (legal e jurídico) e a conclusão. Ou seja, o candidato tem que ter em mente que a cada tópico aberto tem que ter no mínimo três parágrafos, sendo eles: o fato (que é o problema da </w:t>
      </w:r>
      <w:proofErr w:type="spellStart"/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oab</w:t>
      </w:r>
      <w:proofErr w:type="spellEnd"/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), o fundamento legal (lei) e o fundamento jurídico (explicar a lei) e a conclusão (que é o pedido em si). Respeitando esses aspectos o candidato será aprovado.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Considero que o aluno deva sim, independentemente da faculdade em que se graduou, fazer um curso preparatório para o exame de ordem, devendo buscar alternativas entre àqueles que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estão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há mais tempo no mercado, cuja estrutura permita ao aluno um bom desenvolvimento e  que conte com professores que já tenham experiência no exame. Cursos que contam com material didático específicos para a prova saem na frente, levando-se em conta, também, os índices de aprovação.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Isso porque o exame de ordem, atualmente unificado em todo o território nacional, traz questões pertinentes aos cinco anos de faculdade, sendo que, muitas delas, certamente caíram no esquecimento do aluno.  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Para que o candidato tenha uma idéia de uma petição trabalhista, segue abaixo o modelo de uma reclamação trabalhista, nos moldes da prova da </w:t>
      </w:r>
      <w:proofErr w:type="spellStart"/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oab</w:t>
      </w:r>
      <w:proofErr w:type="spellEnd"/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.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lastRenderedPageBreak/>
        <w:t>EXCELENTÍSSIMO SENHOR DOUTOR JUIZ DO TRABALHO DA   ª VARA DO TRABALHO DE_____________.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                        “A”, nacionalidade, estado civil, profissão, com </w:t>
      </w:r>
      <w:proofErr w:type="spell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R.G.</w:t>
      </w:r>
      <w:proofErr w:type="spell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nº, expedido pela SSP/    , na data de   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 ,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com CPF/MF nº, nascido aos dias    , com CTPS nº e série, PIS nº, nome da mãe, residente e domiciliado na rua, nº, bairro, cidade, estado e CEP, por seu advogado que esta subscreve, com endereço profissional na rua, nº, bairro, cidade, estado e CEP, onde deverá receber as intimações (procuração em anexo), vem respeitosamente à presença de Vossa Excelência, propor: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0" w:line="264" w:lineRule="auto"/>
        <w:ind w:left="540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pt-BR"/>
        </w:rPr>
      </w:pPr>
      <w:r w:rsidRPr="0083236F">
        <w:rPr>
          <w:rFonts w:ascii="Tahoma" w:eastAsia="Times New Roman" w:hAnsi="Tahoma" w:cs="Tahoma"/>
          <w:color w:val="000000"/>
          <w:kern w:val="36"/>
          <w:sz w:val="24"/>
          <w:szCs w:val="24"/>
          <w:u w:val="single"/>
          <w:lang w:eastAsia="pt-BR"/>
        </w:rPr>
        <w:t>Ação Trabalhista a ser processada pelo Rito Ordinário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com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base nos artigos 840, parágrafo 1º da CLT, combinado com o artigo 282 do CPC, em face de “B”, devidamente inscrito no CNPJ/MF, estabelecida na rua, nº, bairro, cidade, estado e CEP, consubstanciado nos motivos de fato e de direito a seguir expostos.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1. </w:t>
      </w:r>
      <w:r w:rsidRPr="0083236F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DA COMISSÃO DE CONCILIAÇÃO PRÉVIA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                        A Comissão de Conciliação Prévia é um instituto que visa conciliar os conflitos individuais do trabalho. Conforme se depreende dos artigos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625-d e seguintes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trata-se de uma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faculdade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a sua utilização pelo empregado. Desta forma, respaldado nos artigos 5º, inciso XXXV e 114 da Constituição Federal, o reclamante vem pela presente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socorrer-se da Justiça do Trabalho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para que este Douto Juízo resolva o conflito a seguir apresentado.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2. </w:t>
      </w:r>
      <w:r w:rsidRPr="0083236F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DA CONCESSÃO DA JUSTIÇA GRATUITA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   (se for o caso)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                       O Poder Judiciário é de livre acesso para qualquer cidadão, e diante da dificuldade financeira que se encontra o reclamante, requer a concessão da justiça gratuita a seu favor.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                        Corroborando com este entendimento a Lei 1060/50, em seu artigo 14, combinado com o artigo 790, parágrafo 3º da CLT,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atestam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 referido direito.</w:t>
      </w:r>
    </w:p>
    <w:p w:rsidR="0083236F" w:rsidRPr="0083236F" w:rsidRDefault="0083236F" w:rsidP="0083236F">
      <w:pPr>
        <w:spacing w:after="0" w:line="240" w:lineRule="auto"/>
        <w:ind w:left="540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lastRenderedPageBreak/>
        <w:t>                          Conforme declaração de pobreza em anexo, requer-se o referido benefício.</w:t>
      </w:r>
    </w:p>
    <w:p w:rsidR="0083236F" w:rsidRPr="0083236F" w:rsidRDefault="0083236F" w:rsidP="0083236F">
      <w:pPr>
        <w:spacing w:after="0" w:line="240" w:lineRule="auto"/>
        <w:ind w:left="540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3. </w:t>
      </w:r>
      <w:r w:rsidRPr="0083236F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RESUMO DO CONTRATO DE TRABALHO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 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(é a cópia do problema; ser sintético)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4. </w:t>
      </w:r>
      <w:r w:rsidRPr="0083236F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DA INTEGRAÇÃO DAS GORJETAS NA REMUNERAÇÃO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(exemplificativo)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         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Fato ...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.....                 enunciado do problema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708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Fundamento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.....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        CF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                                     Lei:      CLT               + (Explicação do aluno)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                                                 Especiais</w:t>
      </w:r>
    </w:p>
    <w:p w:rsidR="0083236F" w:rsidRPr="0083236F" w:rsidRDefault="0083236F" w:rsidP="0083236F">
      <w:pPr>
        <w:spacing w:after="324" w:line="240" w:lineRule="auto"/>
        <w:ind w:left="3372" w:firstLine="168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 Súmula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                                               Elencar o fundamento jurídico.</w:t>
      </w:r>
    </w:p>
    <w:p w:rsidR="0083236F" w:rsidRPr="0083236F" w:rsidRDefault="0083236F" w:rsidP="0083236F">
      <w:pPr>
        <w:spacing w:after="324" w:line="240" w:lineRule="auto"/>
        <w:ind w:left="540" w:firstLine="708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 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         Conclusão:            Por fim, (Diante do exposto, À vista do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exposto ...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.), requer a condenação da reclamada ao pagamento das diferenças salariais com seus devidos reflexos diante da integração das gorjetas.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5. </w:t>
      </w:r>
      <w:r w:rsidRPr="0083236F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PEDIDO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                        Diante do exposto é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 presente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para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requerer a procedência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da ação nos seguintes termos: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 5.1 A condenação da reclamada ao pagamento das diferenças salariais com seus devidos reflexos diante da integração das gorjetas; (repetir os pedidos)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 5. </w:t>
      </w: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2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Que a reclamada seja condenada ao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pagamento das custas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;</w:t>
      </w:r>
    </w:p>
    <w:p w:rsidR="0083236F" w:rsidRPr="0083236F" w:rsidRDefault="0083236F" w:rsidP="0083236F">
      <w:pPr>
        <w:spacing w:after="324" w:line="240" w:lineRule="auto"/>
        <w:ind w:left="540" w:hanging="51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5.3</w:t>
      </w:r>
      <w:r w:rsidRPr="0083236F">
        <w:rPr>
          <w:rFonts w:ascii="Tahoma" w:eastAsia="Times New Roman" w:hAnsi="Tahoma" w:cs="Tahoma"/>
          <w:color w:val="444444"/>
          <w:sz w:val="14"/>
          <w:szCs w:val="14"/>
          <w:lang w:eastAsia="pt-BR"/>
        </w:rPr>
        <w:t xml:space="preserve">    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Que sejam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expedidos ofícios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aos órgãos competentes, a critério deste Douto Juízo.</w:t>
      </w:r>
    </w:p>
    <w:p w:rsidR="0083236F" w:rsidRPr="0083236F" w:rsidRDefault="0083236F" w:rsidP="0083236F">
      <w:pPr>
        <w:spacing w:after="0" w:line="240" w:lineRule="auto"/>
        <w:ind w:left="540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Os valores serão devidamente apurados na fase de liquidação.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6. </w:t>
      </w:r>
      <w:r w:rsidRPr="0083236F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REQUERIMENTOS FINAIS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lastRenderedPageBreak/>
        <w:t> </w:t>
      </w:r>
    </w:p>
    <w:p w:rsidR="0083236F" w:rsidRPr="0083236F" w:rsidRDefault="0083236F" w:rsidP="0083236F">
      <w:pPr>
        <w:spacing w:after="0" w:line="240" w:lineRule="auto"/>
        <w:ind w:left="540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                          Requer-se, ainda, que a reclamada seja </w:t>
      </w:r>
      <w:r w:rsidRPr="0083236F">
        <w:rPr>
          <w:rFonts w:ascii="Tahoma" w:eastAsia="Times New Roman" w:hAnsi="Tahoma" w:cs="Tahoma"/>
          <w:color w:val="444444"/>
          <w:sz w:val="20"/>
          <w:szCs w:val="20"/>
          <w:shd w:val="clear" w:color="auto" w:fill="C0C0C0"/>
          <w:lang w:eastAsia="pt-BR"/>
        </w:rPr>
        <w:t>notificada</w:t>
      </w: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para que </w:t>
      </w:r>
      <w:proofErr w:type="gramStart"/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querendo</w:t>
      </w:r>
      <w:proofErr w:type="gramEnd"/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apresente sua </w:t>
      </w:r>
      <w:r w:rsidRPr="0083236F">
        <w:rPr>
          <w:rFonts w:ascii="Tahoma" w:eastAsia="Times New Roman" w:hAnsi="Tahoma" w:cs="Tahoma"/>
          <w:color w:val="444444"/>
          <w:sz w:val="20"/>
          <w:szCs w:val="20"/>
          <w:shd w:val="clear" w:color="auto" w:fill="C0C0C0"/>
          <w:lang w:eastAsia="pt-BR"/>
        </w:rPr>
        <w:t>defesa</w:t>
      </w: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em audiência e, caso não a faça, que seja declarada sua </w:t>
      </w:r>
      <w:r w:rsidRPr="0083236F">
        <w:rPr>
          <w:rFonts w:ascii="Tahoma" w:eastAsia="Times New Roman" w:hAnsi="Tahoma" w:cs="Tahoma"/>
          <w:color w:val="444444"/>
          <w:sz w:val="20"/>
          <w:szCs w:val="20"/>
          <w:shd w:val="clear" w:color="auto" w:fill="C0C0C0"/>
          <w:lang w:eastAsia="pt-BR"/>
        </w:rPr>
        <w:t>revelia</w:t>
      </w: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e lhe seja aplicada a pena de </w:t>
      </w:r>
      <w:r w:rsidRPr="0083236F">
        <w:rPr>
          <w:rFonts w:ascii="Tahoma" w:eastAsia="Times New Roman" w:hAnsi="Tahoma" w:cs="Tahoma"/>
          <w:color w:val="444444"/>
          <w:sz w:val="20"/>
          <w:szCs w:val="20"/>
          <w:shd w:val="clear" w:color="auto" w:fill="C0C0C0"/>
          <w:lang w:eastAsia="pt-BR"/>
        </w:rPr>
        <w:t>confissão</w:t>
      </w: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                       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Alega provar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os fatos por todos os meios de prova admitidos no Direito.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                          Dá-se à </w:t>
      </w:r>
      <w:r w:rsidRPr="0083236F">
        <w:rPr>
          <w:rFonts w:ascii="Arial" w:eastAsia="Times New Roman" w:hAnsi="Arial" w:cs="Arial"/>
          <w:color w:val="444444"/>
          <w:sz w:val="20"/>
          <w:szCs w:val="20"/>
          <w:shd w:val="clear" w:color="auto" w:fill="C0C0C0"/>
          <w:lang w:eastAsia="pt-BR"/>
        </w:rPr>
        <w:t>causa o valor</w:t>
      </w: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de R$          (valor por extenso).</w:t>
      </w:r>
    </w:p>
    <w:p w:rsidR="0083236F" w:rsidRPr="0083236F" w:rsidRDefault="0083236F" w:rsidP="0083236F">
      <w:pPr>
        <w:spacing w:after="324" w:line="240" w:lineRule="auto"/>
        <w:ind w:left="54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Nesses termos,</w:t>
      </w:r>
    </w:p>
    <w:p w:rsidR="0083236F" w:rsidRPr="0083236F" w:rsidRDefault="0083236F" w:rsidP="0083236F">
      <w:pPr>
        <w:spacing w:after="0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gramStart"/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pede</w:t>
      </w:r>
      <w:proofErr w:type="gramEnd"/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 xml:space="preserve"> deferimento.</w:t>
      </w:r>
    </w:p>
    <w:p w:rsidR="0083236F" w:rsidRPr="0083236F" w:rsidRDefault="0083236F" w:rsidP="0083236F">
      <w:pPr>
        <w:spacing w:after="0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Local e data.</w:t>
      </w:r>
    </w:p>
    <w:p w:rsidR="0083236F" w:rsidRPr="0083236F" w:rsidRDefault="0083236F" w:rsidP="0083236F">
      <w:pPr>
        <w:spacing w:after="324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assinatura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do advogado</w:t>
      </w:r>
    </w:p>
    <w:p w:rsidR="0083236F" w:rsidRPr="0083236F" w:rsidRDefault="0083236F" w:rsidP="0083236F">
      <w:pPr>
        <w:spacing w:after="324" w:line="240" w:lineRule="auto"/>
        <w:ind w:left="540"/>
        <w:jc w:val="center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gramStart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nome</w:t>
      </w:r>
      <w:proofErr w:type="gramEnd"/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do advogado</w:t>
      </w:r>
    </w:p>
    <w:p w:rsidR="0083236F" w:rsidRPr="0083236F" w:rsidRDefault="0083236F" w:rsidP="0083236F">
      <w:pPr>
        <w:spacing w:after="324" w:line="240" w:lineRule="auto"/>
        <w:ind w:left="540" w:firstLine="2880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        OAB/       nº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both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 </w:t>
      </w:r>
    </w:p>
    <w:p w:rsidR="0083236F" w:rsidRPr="0083236F" w:rsidRDefault="0083236F" w:rsidP="0083236F">
      <w:pPr>
        <w:spacing w:after="324" w:line="240" w:lineRule="auto"/>
        <w:ind w:left="540" w:firstLine="2880"/>
        <w:jc w:val="right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proofErr w:type="spellStart"/>
      <w:r w:rsidRPr="0083236F">
        <w:rPr>
          <w:rFonts w:ascii="Arial" w:eastAsia="Times New Roman" w:hAnsi="Arial" w:cs="Arial"/>
          <w:b/>
          <w:bCs/>
          <w:color w:val="444444"/>
          <w:sz w:val="20"/>
          <w:szCs w:val="20"/>
          <w:lang w:eastAsia="pt-BR"/>
        </w:rPr>
        <w:t>Gleibe</w:t>
      </w:r>
      <w:proofErr w:type="spellEnd"/>
      <w:r w:rsidRPr="0083236F">
        <w:rPr>
          <w:rFonts w:ascii="Arial" w:eastAsia="Times New Roman" w:hAnsi="Arial" w:cs="Arial"/>
          <w:b/>
          <w:bCs/>
          <w:color w:val="444444"/>
          <w:sz w:val="20"/>
          <w:szCs w:val="20"/>
          <w:lang w:eastAsia="pt-BR"/>
        </w:rPr>
        <w:t xml:space="preserve"> </w:t>
      </w:r>
      <w:proofErr w:type="spellStart"/>
      <w:r w:rsidRPr="0083236F">
        <w:rPr>
          <w:rFonts w:ascii="Arial" w:eastAsia="Times New Roman" w:hAnsi="Arial" w:cs="Arial"/>
          <w:b/>
          <w:bCs/>
          <w:color w:val="444444"/>
          <w:sz w:val="20"/>
          <w:szCs w:val="20"/>
          <w:lang w:eastAsia="pt-BR"/>
        </w:rPr>
        <w:t>Pretti</w:t>
      </w:r>
      <w:proofErr w:type="spellEnd"/>
    </w:p>
    <w:p w:rsidR="0083236F" w:rsidRPr="0083236F" w:rsidRDefault="0083236F" w:rsidP="0083236F">
      <w:pPr>
        <w:spacing w:after="324" w:line="240" w:lineRule="auto"/>
        <w:ind w:left="540" w:firstLine="2880"/>
        <w:jc w:val="right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Advogado e professor de direito do trabalho</w:t>
      </w:r>
    </w:p>
    <w:p w:rsidR="0083236F" w:rsidRPr="0083236F" w:rsidRDefault="0083236F" w:rsidP="0083236F">
      <w:pPr>
        <w:spacing w:after="324" w:line="240" w:lineRule="auto"/>
        <w:ind w:left="540" w:firstLine="2880"/>
        <w:jc w:val="right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Autor de diversas obras pela Ed. Ícone </w:t>
      </w:r>
      <w:hyperlink r:id="rId4" w:tgtFrame="_blank" w:history="1">
        <w:r w:rsidRPr="0083236F">
          <w:rPr>
            <w:rFonts w:ascii="Arial" w:eastAsia="Times New Roman" w:hAnsi="Arial" w:cs="Arial"/>
            <w:sz w:val="20"/>
            <w:lang w:eastAsia="pt-BR"/>
          </w:rPr>
          <w:t>www.iconeeditora.com.br</w:t>
        </w:r>
      </w:hyperlink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</w:t>
      </w:r>
    </w:p>
    <w:p w:rsidR="0083236F" w:rsidRPr="0083236F" w:rsidRDefault="0083236F" w:rsidP="0083236F">
      <w:pPr>
        <w:spacing w:after="324" w:line="240" w:lineRule="auto"/>
        <w:ind w:left="540" w:firstLine="2880"/>
        <w:jc w:val="right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hyperlink r:id="rId5" w:history="1">
        <w:r w:rsidRPr="0083236F">
          <w:rPr>
            <w:rFonts w:ascii="Arial" w:eastAsia="Times New Roman" w:hAnsi="Arial" w:cs="Arial"/>
            <w:sz w:val="20"/>
            <w:lang w:eastAsia="pt-BR"/>
          </w:rPr>
          <w:t>prof.gleibe@yahoo.com.br</w:t>
        </w:r>
      </w:hyperlink>
    </w:p>
    <w:p w:rsidR="0083236F" w:rsidRPr="0083236F" w:rsidRDefault="0083236F" w:rsidP="0083236F">
      <w:pPr>
        <w:spacing w:after="324" w:line="240" w:lineRule="auto"/>
        <w:ind w:left="540" w:firstLine="2880"/>
        <w:jc w:val="right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hyperlink r:id="rId6" w:tgtFrame="_blank" w:history="1">
        <w:r w:rsidRPr="0083236F">
          <w:rPr>
            <w:rFonts w:ascii="Arial" w:eastAsia="Times New Roman" w:hAnsi="Arial" w:cs="Arial"/>
            <w:sz w:val="20"/>
            <w:lang w:eastAsia="pt-BR"/>
          </w:rPr>
          <w:t>www.professorgleibe.com.br</w:t>
        </w:r>
      </w:hyperlink>
      <w:r w:rsidRPr="0083236F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</w:t>
      </w:r>
    </w:p>
    <w:p w:rsidR="0083236F" w:rsidRPr="0083236F" w:rsidRDefault="0083236F" w:rsidP="0083236F">
      <w:pPr>
        <w:spacing w:after="324" w:line="240" w:lineRule="auto"/>
        <w:ind w:left="540" w:firstLine="2880"/>
        <w:jc w:val="right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hyperlink r:id="rId7" w:tgtFrame="_blank" w:history="1">
        <w:r w:rsidRPr="0083236F">
          <w:rPr>
            <w:rFonts w:ascii="Arial" w:eastAsia="Times New Roman" w:hAnsi="Arial" w:cs="Arial"/>
            <w:sz w:val="20"/>
            <w:lang w:eastAsia="pt-BR"/>
          </w:rPr>
          <w:t>www.blogs.abril.com.br/gleibe</w:t>
        </w:r>
      </w:hyperlink>
    </w:p>
    <w:p w:rsidR="0083236F" w:rsidRPr="0083236F" w:rsidRDefault="0083236F" w:rsidP="0083236F">
      <w:pPr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  <w:lang w:eastAsia="pt-BR"/>
        </w:rPr>
      </w:pPr>
      <w:r w:rsidRPr="0083236F">
        <w:rPr>
          <w:rFonts w:ascii="Tahoma" w:eastAsia="Times New Roman" w:hAnsi="Tahoma" w:cs="Tahoma"/>
          <w:color w:val="444444"/>
          <w:sz w:val="20"/>
          <w:szCs w:val="20"/>
          <w:lang w:eastAsia="pt-BR"/>
        </w:rPr>
        <w:br/>
        <w:t> </w:t>
      </w:r>
    </w:p>
    <w:p w:rsidR="00D61B1E" w:rsidRPr="0083236F" w:rsidRDefault="00D61B1E" w:rsidP="0083236F"/>
    <w:sectPr w:rsidR="00D61B1E" w:rsidRPr="0083236F" w:rsidSect="00D61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36F"/>
    <w:rsid w:val="0083236F"/>
    <w:rsid w:val="00D6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1E"/>
  </w:style>
  <w:style w:type="paragraph" w:styleId="Ttulo1">
    <w:name w:val="heading 1"/>
    <w:basedOn w:val="Normal"/>
    <w:link w:val="Ttulo1Char"/>
    <w:uiPriority w:val="9"/>
    <w:qFormat/>
    <w:rsid w:val="0083236F"/>
    <w:pPr>
      <w:spacing w:after="75" w:line="264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9"/>
      <w:szCs w:val="39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3236F"/>
    <w:pPr>
      <w:spacing w:after="75" w:line="264" w:lineRule="auto"/>
      <w:outlineLvl w:val="1"/>
    </w:pPr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36F"/>
    <w:rPr>
      <w:rFonts w:ascii="Times New Roman" w:eastAsia="Times New Roman" w:hAnsi="Times New Roman" w:cs="Times New Roman"/>
      <w:color w:val="000000"/>
      <w:kern w:val="36"/>
      <w:sz w:val="39"/>
      <w:szCs w:val="3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3236F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3236F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83236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">
    <w:name w:val="ecxmsobodytextindent"/>
    <w:basedOn w:val="Normal"/>
    <w:rsid w:val="0083236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83236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3">
    <w:name w:val="ecxmsobodytext3"/>
    <w:basedOn w:val="Normal"/>
    <w:rsid w:val="0083236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9017173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5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0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ogs.abril.com.br/glei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essorgleibe.com.br/" TargetMode="External"/><Relationship Id="rId5" Type="http://schemas.openxmlformats.org/officeDocument/2006/relationships/hyperlink" Target="mailto:prof.gleibe@yahoo.com.br" TargetMode="External"/><Relationship Id="rId4" Type="http://schemas.openxmlformats.org/officeDocument/2006/relationships/hyperlink" Target="http://www.iconeeditora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1317</Words>
  <Characters>7117</Characters>
  <Application>Microsoft Office Word</Application>
  <DocSecurity>0</DocSecurity>
  <Lines>59</Lines>
  <Paragraphs>16</Paragraphs>
  <ScaleCrop>false</ScaleCrop>
  <Company>Hewlett-Packard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1</cp:revision>
  <dcterms:created xsi:type="dcterms:W3CDTF">2010-02-26T08:54:00Z</dcterms:created>
  <dcterms:modified xsi:type="dcterms:W3CDTF">2010-02-26T08:59:00Z</dcterms:modified>
</cp:coreProperties>
</file>